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B1A" w:rsidRDefault="00DD6B1A" w:rsidP="00DD6B1A">
      <w:pPr>
        <w:spacing w:after="0" w:line="360" w:lineRule="auto"/>
        <w:rPr>
          <w:rFonts w:ascii="Times New Roman" w:hAnsi="Times New Roman" w:cs="Times New Roman"/>
          <w:b/>
          <w:sz w:val="24"/>
          <w:lang w:val="lv-LV"/>
        </w:rPr>
      </w:pPr>
      <w:bookmarkStart w:id="0" w:name="_GoBack"/>
      <w:bookmarkEnd w:id="0"/>
      <w:r w:rsidRPr="00DD6B1A">
        <w:rPr>
          <w:rFonts w:ascii="Times New Roman" w:hAnsi="Times New Roman" w:cs="Times New Roman"/>
          <w:b/>
          <w:noProof/>
          <w:sz w:val="24"/>
          <w:lang w:val="en-GB" w:eastAsia="en-GB"/>
        </w:rPr>
        <w:drawing>
          <wp:inline distT="0" distB="0" distL="0" distR="0">
            <wp:extent cx="2523624" cy="641444"/>
            <wp:effectExtent l="19050" t="0" r="0" b="0"/>
            <wp:docPr id="1" name="Picture 1" descr="C:\Users\jtitko\Desktop\EKA_MAIN_FOLDER\EKA projekti\2017_NordPlus ADULT\NordPlus_logo\NordPlus ad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titko\Desktop\EKA_MAIN_FOLDER\EKA projekti\2017_NordPlus ADULT\NordPlus_logo\NordPlus adu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321" cy="641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B1A" w:rsidRPr="00D166CB" w:rsidRDefault="00DD6B1A" w:rsidP="00420990">
      <w:pPr>
        <w:spacing w:after="0" w:line="360" w:lineRule="auto"/>
        <w:jc w:val="center"/>
        <w:rPr>
          <w:rFonts w:ascii="Times New Roman" w:hAnsi="Times New Roman" w:cs="Times New Roman"/>
          <w:sz w:val="24"/>
          <w:lang w:val="lv-LV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5"/>
        <w:gridCol w:w="3819"/>
        <w:gridCol w:w="3060"/>
      </w:tblGrid>
      <w:tr w:rsidR="00DD6B1A" w:rsidRPr="00D166CB" w:rsidTr="00D166CB">
        <w:tc>
          <w:tcPr>
            <w:tcW w:w="2127" w:type="dxa"/>
          </w:tcPr>
          <w:p w:rsidR="00DD6B1A" w:rsidRPr="00D166CB" w:rsidRDefault="00DD6B1A" w:rsidP="00DD6B1A">
            <w:pPr>
              <w:spacing w:line="360" w:lineRule="auto"/>
              <w:rPr>
                <w:rFonts w:ascii="Times New Roman" w:hAnsi="Times New Roman" w:cs="Times New Roman"/>
                <w:lang w:val="lv-LV"/>
              </w:rPr>
            </w:pPr>
            <w:r w:rsidRPr="00D166CB">
              <w:rPr>
                <w:rFonts w:ascii="Times New Roman" w:hAnsi="Times New Roman" w:cs="Times New Roman"/>
                <w:lang w:val="lv-LV"/>
              </w:rPr>
              <w:t>STUDY COURCE /</w:t>
            </w:r>
          </w:p>
          <w:p w:rsidR="00DD6B1A" w:rsidRPr="00D166CB" w:rsidRDefault="00DD6B1A" w:rsidP="00DD6B1A">
            <w:pPr>
              <w:spacing w:line="360" w:lineRule="auto"/>
              <w:rPr>
                <w:rFonts w:ascii="Times New Roman" w:hAnsi="Times New Roman" w:cs="Times New Roman"/>
                <w:lang w:val="lv-LV"/>
              </w:rPr>
            </w:pPr>
            <w:r w:rsidRPr="00D166CB">
              <w:rPr>
                <w:rFonts w:ascii="Times New Roman" w:hAnsi="Times New Roman" w:cs="Times New Roman"/>
                <w:lang w:val="lv-LV"/>
              </w:rPr>
              <w:t>STUDIJU KURSS</w:t>
            </w:r>
          </w:p>
        </w:tc>
        <w:tc>
          <w:tcPr>
            <w:tcW w:w="3927" w:type="dxa"/>
          </w:tcPr>
          <w:p w:rsidR="00DD6B1A" w:rsidRPr="00D166CB" w:rsidRDefault="00DD6B1A" w:rsidP="00DD6B1A">
            <w:pPr>
              <w:spacing w:line="360" w:lineRule="auto"/>
              <w:rPr>
                <w:rFonts w:ascii="Times New Roman" w:hAnsi="Times New Roman" w:cs="Times New Roman"/>
                <w:lang w:val="lv-LV"/>
              </w:rPr>
            </w:pPr>
            <w:r w:rsidRPr="00D166CB">
              <w:rPr>
                <w:rFonts w:ascii="Times New Roman" w:hAnsi="Times New Roman" w:cs="Times New Roman"/>
                <w:lang w:val="lv-LV"/>
              </w:rPr>
              <w:t xml:space="preserve"> Investment Options for SMEs</w:t>
            </w:r>
          </w:p>
          <w:p w:rsidR="00DD6B1A" w:rsidRPr="00D166CB" w:rsidRDefault="00DD6B1A" w:rsidP="00DD6B1A">
            <w:pPr>
              <w:spacing w:line="360" w:lineRule="auto"/>
              <w:rPr>
                <w:rFonts w:ascii="Times New Roman" w:hAnsi="Times New Roman" w:cs="Times New Roman"/>
                <w:lang w:val="lv-LV"/>
              </w:rPr>
            </w:pPr>
          </w:p>
        </w:tc>
        <w:tc>
          <w:tcPr>
            <w:tcW w:w="3126" w:type="dxa"/>
          </w:tcPr>
          <w:p w:rsidR="00DD6B1A" w:rsidRPr="00D166CB" w:rsidRDefault="00D166CB" w:rsidP="00DD6B1A">
            <w:pPr>
              <w:spacing w:line="360" w:lineRule="auto"/>
              <w:rPr>
                <w:rFonts w:ascii="Times New Roman" w:hAnsi="Times New Roman" w:cs="Times New Roman"/>
                <w:sz w:val="24"/>
                <w:lang w:val="lv-LV"/>
              </w:rPr>
            </w:pPr>
            <w:r w:rsidRPr="00D166CB">
              <w:rPr>
                <w:rFonts w:ascii="Times New Roman" w:hAnsi="Times New Roman" w:cs="Times New Roman"/>
                <w:sz w:val="24"/>
                <w:lang w:val="lv-LV"/>
              </w:rPr>
              <w:t xml:space="preserve">MVU Investēšanas iespējas </w:t>
            </w:r>
          </w:p>
        </w:tc>
      </w:tr>
      <w:tr w:rsidR="00DD6B1A" w:rsidRPr="00D166CB" w:rsidTr="00D166CB">
        <w:tc>
          <w:tcPr>
            <w:tcW w:w="2127" w:type="dxa"/>
          </w:tcPr>
          <w:p w:rsidR="00DD6B1A" w:rsidRPr="00D166CB" w:rsidRDefault="00DD6B1A" w:rsidP="00DD6B1A">
            <w:pPr>
              <w:spacing w:line="360" w:lineRule="auto"/>
              <w:rPr>
                <w:rFonts w:ascii="Times New Roman" w:hAnsi="Times New Roman" w:cs="Times New Roman"/>
                <w:lang w:val="lv-LV"/>
              </w:rPr>
            </w:pPr>
            <w:r w:rsidRPr="00D166CB">
              <w:rPr>
                <w:rFonts w:ascii="Times New Roman" w:hAnsi="Times New Roman" w:cs="Times New Roman"/>
                <w:lang w:val="lv-LV"/>
              </w:rPr>
              <w:t xml:space="preserve">TOPIC / </w:t>
            </w:r>
          </w:p>
          <w:p w:rsidR="00DD6B1A" w:rsidRPr="00D166CB" w:rsidRDefault="00DD6B1A" w:rsidP="00DD6B1A">
            <w:pPr>
              <w:spacing w:line="360" w:lineRule="auto"/>
              <w:rPr>
                <w:rFonts w:ascii="Times New Roman" w:hAnsi="Times New Roman" w:cs="Times New Roman"/>
                <w:lang w:val="lv-LV"/>
              </w:rPr>
            </w:pPr>
            <w:r w:rsidRPr="00D166CB">
              <w:rPr>
                <w:rFonts w:ascii="Times New Roman" w:hAnsi="Times New Roman" w:cs="Times New Roman"/>
                <w:lang w:val="lv-LV"/>
              </w:rPr>
              <w:t>TĒMA</w:t>
            </w:r>
          </w:p>
        </w:tc>
        <w:tc>
          <w:tcPr>
            <w:tcW w:w="3927" w:type="dxa"/>
          </w:tcPr>
          <w:p w:rsidR="00DD6B1A" w:rsidRPr="00D166CB" w:rsidRDefault="00DD6B1A" w:rsidP="00DD6B1A">
            <w:pPr>
              <w:spacing w:line="360" w:lineRule="auto"/>
              <w:rPr>
                <w:rFonts w:ascii="Times New Roman" w:hAnsi="Times New Roman" w:cs="Times New Roman"/>
                <w:lang w:val="lv-LV"/>
              </w:rPr>
            </w:pPr>
            <w:r w:rsidRPr="00D166CB">
              <w:rPr>
                <w:rFonts w:ascii="Times New Roman" w:hAnsi="Times New Roman" w:cs="Times New Roman"/>
              </w:rPr>
              <w:t>Investing and trading technique: introduction to fundamental and technical analysis</w:t>
            </w:r>
          </w:p>
        </w:tc>
        <w:tc>
          <w:tcPr>
            <w:tcW w:w="3126" w:type="dxa"/>
          </w:tcPr>
          <w:p w:rsidR="00DD6B1A" w:rsidRPr="00D166CB" w:rsidRDefault="00D166CB" w:rsidP="00D166CB">
            <w:pPr>
              <w:spacing w:line="360" w:lineRule="auto"/>
              <w:rPr>
                <w:rFonts w:ascii="Times New Roman" w:hAnsi="Times New Roman" w:cs="Times New Roman"/>
                <w:sz w:val="24"/>
                <w:lang w:val="lv-LV"/>
              </w:rPr>
            </w:pPr>
            <w:r w:rsidRPr="00D166CB">
              <w:rPr>
                <w:rFonts w:ascii="Times New Roman" w:hAnsi="Times New Roman" w:cs="Times New Roman"/>
                <w:sz w:val="24"/>
                <w:lang w:val="lv-LV"/>
              </w:rPr>
              <w:t>Investēšanas un tirdzniecības tehnikas: fundamentālā un tehniskā analīze</w:t>
            </w:r>
          </w:p>
        </w:tc>
      </w:tr>
      <w:tr w:rsidR="00D166CB" w:rsidRPr="00D166CB" w:rsidTr="00D166CB">
        <w:tc>
          <w:tcPr>
            <w:tcW w:w="9180" w:type="dxa"/>
            <w:gridSpan w:val="3"/>
          </w:tcPr>
          <w:p w:rsidR="00D166CB" w:rsidRPr="00D166CB" w:rsidRDefault="00D166CB" w:rsidP="00D166CB">
            <w:pPr>
              <w:spacing w:line="360" w:lineRule="auto"/>
              <w:jc w:val="center"/>
              <w:rPr>
                <w:rFonts w:ascii="Times New Roman" w:hAnsi="Times New Roman" w:cs="Times New Roman"/>
                <w:lang w:val="lv-LV"/>
              </w:rPr>
            </w:pPr>
            <w:r w:rsidRPr="00D166CB">
              <w:rPr>
                <w:rFonts w:ascii="Times New Roman" w:hAnsi="Times New Roman" w:cs="Times New Roman"/>
                <w:lang w:val="lv-LV"/>
              </w:rPr>
              <w:t>CONTROL QUESTIONS / KONTROLJAUTĀJUMI</w:t>
            </w:r>
          </w:p>
        </w:tc>
      </w:tr>
    </w:tbl>
    <w:p w:rsidR="00DD6B1A" w:rsidRDefault="00DD6B1A" w:rsidP="00DD6B1A">
      <w:pPr>
        <w:spacing w:after="0" w:line="360" w:lineRule="auto"/>
        <w:rPr>
          <w:rFonts w:ascii="Times New Roman" w:hAnsi="Times New Roman" w:cs="Times New Roman"/>
          <w:b/>
          <w:sz w:val="24"/>
          <w:lang w:val="lv-LV"/>
        </w:rPr>
      </w:pPr>
    </w:p>
    <w:p w:rsidR="00664658" w:rsidRPr="00D166CB" w:rsidRDefault="00664658" w:rsidP="0066465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  <w:lang w:val="lv-LV"/>
        </w:rPr>
      </w:pPr>
      <w:r w:rsidRPr="00D166CB">
        <w:rPr>
          <w:rFonts w:ascii="Times New Roman" w:hAnsi="Times New Roman" w:cs="Times New Roman"/>
          <w:sz w:val="20"/>
          <w:szCs w:val="20"/>
          <w:lang w:val="lv-LV"/>
        </w:rPr>
        <w:t xml:space="preserve">Tehniskā analīze </w:t>
      </w:r>
    </w:p>
    <w:p w:rsidR="00664658" w:rsidRPr="00D166CB" w:rsidRDefault="00664658" w:rsidP="00664658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  <w:lang w:val="lv-LV"/>
        </w:rPr>
      </w:pPr>
      <w:r w:rsidRPr="00D166CB">
        <w:rPr>
          <w:rFonts w:ascii="Times New Roman" w:hAnsi="Times New Roman" w:cs="Times New Roman"/>
          <w:sz w:val="20"/>
          <w:szCs w:val="20"/>
          <w:lang w:val="lv-LV"/>
        </w:rPr>
        <w:t>analīzē finanšu instrumenta kustības iemeslus</w:t>
      </w:r>
    </w:p>
    <w:p w:rsidR="00664658" w:rsidRPr="00A16514" w:rsidRDefault="00664658" w:rsidP="00664658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color w:val="00B050"/>
          <w:sz w:val="20"/>
          <w:szCs w:val="20"/>
          <w:lang w:val="lv-LV"/>
        </w:rPr>
      </w:pPr>
      <w:r w:rsidRPr="00A16514">
        <w:rPr>
          <w:rFonts w:ascii="Times New Roman" w:hAnsi="Times New Roman" w:cs="Times New Roman"/>
          <w:b/>
          <w:color w:val="00B050"/>
          <w:sz w:val="20"/>
          <w:szCs w:val="20"/>
          <w:lang w:val="lv-LV"/>
        </w:rPr>
        <w:t>balstās uz cenas kustības grafiskiem paterniem</w:t>
      </w:r>
    </w:p>
    <w:p w:rsidR="00664658" w:rsidRPr="00D166CB" w:rsidRDefault="00664658" w:rsidP="00664658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  <w:lang w:val="lv-LV"/>
        </w:rPr>
      </w:pPr>
      <w:r w:rsidRPr="00D166CB">
        <w:rPr>
          <w:rFonts w:ascii="Times New Roman" w:hAnsi="Times New Roman" w:cs="Times New Roman"/>
          <w:sz w:val="20"/>
          <w:szCs w:val="20"/>
          <w:lang w:val="lv-LV"/>
        </w:rPr>
        <w:t>pēta cenas kustības tehniku</w:t>
      </w:r>
    </w:p>
    <w:p w:rsidR="00664658" w:rsidRPr="00D166CB" w:rsidRDefault="00664658" w:rsidP="00664658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  <w:lang w:val="lv-LV"/>
        </w:rPr>
      </w:pPr>
      <w:r w:rsidRPr="00D166CB">
        <w:rPr>
          <w:rFonts w:ascii="Times New Roman" w:hAnsi="Times New Roman" w:cs="Times New Roman"/>
          <w:sz w:val="20"/>
          <w:szCs w:val="20"/>
          <w:lang w:val="lv-LV"/>
        </w:rPr>
        <w:t>izmanto dažāda veida tehniskas ierīces cenas kustības pētīšanai</w:t>
      </w:r>
    </w:p>
    <w:p w:rsidR="00664658" w:rsidRPr="00D166CB" w:rsidRDefault="00DF62CD" w:rsidP="0066465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  <w:lang w:val="lv-LV"/>
        </w:rPr>
      </w:pPr>
      <w:r w:rsidRPr="00D166CB">
        <w:rPr>
          <w:rFonts w:ascii="Times New Roman" w:hAnsi="Times New Roman" w:cs="Times New Roman"/>
          <w:sz w:val="20"/>
          <w:szCs w:val="20"/>
          <w:lang w:val="lv-LV"/>
        </w:rPr>
        <w:t>Augšupejošais trends ir novērojams, kad</w:t>
      </w:r>
    </w:p>
    <w:p w:rsidR="00DF62CD" w:rsidRPr="00D166CB" w:rsidRDefault="00DF62CD" w:rsidP="00DF62CD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  <w:lang w:val="lv-LV"/>
        </w:rPr>
      </w:pPr>
      <w:r w:rsidRPr="00D166CB">
        <w:rPr>
          <w:rFonts w:ascii="Times New Roman" w:hAnsi="Times New Roman" w:cs="Times New Roman"/>
          <w:sz w:val="20"/>
          <w:szCs w:val="20"/>
          <w:lang w:val="lv-LV"/>
        </w:rPr>
        <w:t>katra nākamā virsotne ir augstāka par iepriekšēju</w:t>
      </w:r>
    </w:p>
    <w:p w:rsidR="00DF62CD" w:rsidRPr="00D166CB" w:rsidRDefault="00DF62CD" w:rsidP="00DF62CD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  <w:lang w:val="lv-LV"/>
        </w:rPr>
      </w:pPr>
      <w:r w:rsidRPr="00D166CB">
        <w:rPr>
          <w:rFonts w:ascii="Times New Roman" w:hAnsi="Times New Roman" w:cs="Times New Roman"/>
          <w:sz w:val="20"/>
          <w:szCs w:val="20"/>
          <w:lang w:val="lv-LV"/>
        </w:rPr>
        <w:t>katra nākamā virsotne ir zemāka par iepriekšēju</w:t>
      </w:r>
    </w:p>
    <w:p w:rsidR="00DF62CD" w:rsidRPr="00A16514" w:rsidRDefault="00DF62CD" w:rsidP="00DF62CD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color w:val="00B050"/>
          <w:sz w:val="20"/>
          <w:szCs w:val="20"/>
          <w:lang w:val="lv-LV"/>
        </w:rPr>
      </w:pPr>
      <w:r w:rsidRPr="00A16514">
        <w:rPr>
          <w:rFonts w:ascii="Times New Roman" w:hAnsi="Times New Roman" w:cs="Times New Roman"/>
          <w:b/>
          <w:color w:val="00B050"/>
          <w:sz w:val="20"/>
          <w:szCs w:val="20"/>
          <w:lang w:val="lv-LV"/>
        </w:rPr>
        <w:t>katra nākamā virsotne un ieplaka ir augstākas par iepriekšējām</w:t>
      </w:r>
    </w:p>
    <w:p w:rsidR="00DF62CD" w:rsidRPr="00D166CB" w:rsidRDefault="00DF62CD" w:rsidP="00DF62CD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  <w:lang w:val="lv-LV"/>
        </w:rPr>
      </w:pPr>
      <w:r w:rsidRPr="00D166CB">
        <w:rPr>
          <w:rFonts w:ascii="Times New Roman" w:hAnsi="Times New Roman" w:cs="Times New Roman"/>
          <w:sz w:val="20"/>
          <w:szCs w:val="20"/>
          <w:lang w:val="lv-LV"/>
        </w:rPr>
        <w:t>katra nākamā virsotne un ieplaka ir zemākas par iepriekšējām</w:t>
      </w:r>
    </w:p>
    <w:p w:rsidR="005F0946" w:rsidRPr="00D166CB" w:rsidRDefault="000A4D7D" w:rsidP="005F094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  <w:lang w:val="lv-LV"/>
        </w:rPr>
      </w:pPr>
      <w:r w:rsidRPr="00D166CB">
        <w:rPr>
          <w:rFonts w:ascii="Times New Roman" w:hAnsi="Times New Roman" w:cs="Times New Roman"/>
          <w:sz w:val="20"/>
          <w:szCs w:val="20"/>
          <w:lang w:val="lv-LV"/>
        </w:rPr>
        <w:t>Diverģence ir situācija, kad</w:t>
      </w:r>
    </w:p>
    <w:p w:rsidR="000A4D7D" w:rsidRPr="00A16514" w:rsidRDefault="000A4D7D" w:rsidP="000A4D7D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color w:val="00B050"/>
          <w:sz w:val="20"/>
          <w:szCs w:val="20"/>
          <w:lang w:val="lv-LV"/>
        </w:rPr>
      </w:pPr>
      <w:r w:rsidRPr="00A16514">
        <w:rPr>
          <w:rFonts w:ascii="Times New Roman" w:hAnsi="Times New Roman" w:cs="Times New Roman"/>
          <w:b/>
          <w:color w:val="00B050"/>
          <w:sz w:val="20"/>
          <w:szCs w:val="20"/>
          <w:lang w:val="lv-LV"/>
        </w:rPr>
        <w:t xml:space="preserve">cenu grafika maksimumu sērijai atbilst pazeminošie maksimumi kādam </w:t>
      </w:r>
      <w:r w:rsidR="00C16FAD" w:rsidRPr="00A16514">
        <w:rPr>
          <w:rFonts w:ascii="Times New Roman" w:hAnsi="Times New Roman" w:cs="Times New Roman"/>
          <w:b/>
          <w:color w:val="00B050"/>
          <w:sz w:val="20"/>
          <w:szCs w:val="20"/>
          <w:lang w:val="lv-LV"/>
        </w:rPr>
        <w:t>indikatoram</w:t>
      </w:r>
    </w:p>
    <w:p w:rsidR="00C16FAD" w:rsidRPr="00D166CB" w:rsidRDefault="00C16FAD" w:rsidP="00C16FAD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  <w:lang w:val="lv-LV"/>
        </w:rPr>
      </w:pPr>
      <w:r w:rsidRPr="00D166CB">
        <w:rPr>
          <w:rFonts w:ascii="Times New Roman" w:hAnsi="Times New Roman" w:cs="Times New Roman"/>
          <w:sz w:val="20"/>
          <w:szCs w:val="20"/>
          <w:lang w:val="lv-LV"/>
        </w:rPr>
        <w:t>cenu grafika maksimumu sērijai atbilst paaugstinošie maksimumi kādam indikatoram</w:t>
      </w:r>
    </w:p>
    <w:p w:rsidR="00C16FAD" w:rsidRPr="00D166CB" w:rsidRDefault="00C16FAD" w:rsidP="00C16FAD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  <w:lang w:val="lv-LV"/>
        </w:rPr>
      </w:pPr>
      <w:r w:rsidRPr="00D166CB">
        <w:rPr>
          <w:rFonts w:ascii="Times New Roman" w:hAnsi="Times New Roman" w:cs="Times New Roman"/>
          <w:sz w:val="20"/>
          <w:szCs w:val="20"/>
          <w:lang w:val="lv-LV"/>
        </w:rPr>
        <w:t>cenu grafika minimumu sērijai atbilst pazeminošie maksimumi kādam indikatoram</w:t>
      </w:r>
    </w:p>
    <w:p w:rsidR="00C16FAD" w:rsidRPr="00D166CB" w:rsidRDefault="00C16FAD" w:rsidP="00C16FAD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  <w:lang w:val="lv-LV"/>
        </w:rPr>
      </w:pPr>
      <w:r w:rsidRPr="00D166CB">
        <w:rPr>
          <w:rFonts w:ascii="Times New Roman" w:hAnsi="Times New Roman" w:cs="Times New Roman"/>
          <w:sz w:val="20"/>
          <w:szCs w:val="20"/>
          <w:lang w:val="lv-LV"/>
        </w:rPr>
        <w:t>cenu grafika maksimumu sērijai atbilst pazeminošie minimumi kādam indikatoram</w:t>
      </w:r>
    </w:p>
    <w:p w:rsidR="00C16FAD" w:rsidRPr="00D166CB" w:rsidRDefault="00631558" w:rsidP="00C16FA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  <w:lang w:val="lv-LV"/>
        </w:rPr>
      </w:pPr>
      <w:r w:rsidRPr="00D166CB">
        <w:rPr>
          <w:rFonts w:ascii="Times New Roman" w:hAnsi="Times New Roman" w:cs="Times New Roman"/>
          <w:sz w:val="20"/>
          <w:szCs w:val="20"/>
          <w:lang w:val="lv-LV"/>
        </w:rPr>
        <w:t>Pārpirkšanas signāls norāda uz to, ka</w:t>
      </w:r>
    </w:p>
    <w:p w:rsidR="00631558" w:rsidRPr="00D166CB" w:rsidRDefault="00631558" w:rsidP="00631558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  <w:lang w:val="lv-LV"/>
        </w:rPr>
      </w:pPr>
      <w:r w:rsidRPr="00D166CB">
        <w:rPr>
          <w:rFonts w:ascii="Times New Roman" w:hAnsi="Times New Roman" w:cs="Times New Roman"/>
          <w:sz w:val="20"/>
          <w:szCs w:val="20"/>
          <w:lang w:val="lv-LV"/>
        </w:rPr>
        <w:t>drīz cena korektēsies uz leju (samazināsies)</w:t>
      </w:r>
    </w:p>
    <w:p w:rsidR="00631558" w:rsidRPr="00A16514" w:rsidRDefault="00631558" w:rsidP="00631558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color w:val="00B050"/>
          <w:sz w:val="20"/>
          <w:szCs w:val="20"/>
          <w:lang w:val="lv-LV"/>
        </w:rPr>
      </w:pPr>
      <w:r w:rsidRPr="00A16514">
        <w:rPr>
          <w:rFonts w:ascii="Times New Roman" w:hAnsi="Times New Roman" w:cs="Times New Roman"/>
          <w:b/>
          <w:color w:val="00B050"/>
          <w:sz w:val="20"/>
          <w:szCs w:val="20"/>
          <w:lang w:val="lv-LV"/>
        </w:rPr>
        <w:t>pastāv augsta varbūtība, ka drīzumā cena samazināsies</w:t>
      </w:r>
    </w:p>
    <w:p w:rsidR="00631558" w:rsidRPr="00D166CB" w:rsidRDefault="00631558" w:rsidP="00631558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  <w:lang w:val="lv-LV"/>
        </w:rPr>
      </w:pPr>
      <w:r w:rsidRPr="00D166CB">
        <w:rPr>
          <w:rFonts w:ascii="Times New Roman" w:hAnsi="Times New Roman" w:cs="Times New Roman"/>
          <w:sz w:val="20"/>
          <w:szCs w:val="20"/>
          <w:lang w:val="lv-LV"/>
        </w:rPr>
        <w:t>cena turpinās augšupejošo trendu</w:t>
      </w:r>
    </w:p>
    <w:p w:rsidR="00631558" w:rsidRPr="00D166CB" w:rsidRDefault="00631558" w:rsidP="00631558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  <w:lang w:val="lv-LV"/>
        </w:rPr>
      </w:pPr>
      <w:r w:rsidRPr="00D166CB">
        <w:rPr>
          <w:rFonts w:ascii="Times New Roman" w:hAnsi="Times New Roman" w:cs="Times New Roman"/>
          <w:sz w:val="20"/>
          <w:szCs w:val="20"/>
          <w:lang w:val="lv-LV"/>
        </w:rPr>
        <w:t>drīz cena apstāsies</w:t>
      </w:r>
    </w:p>
    <w:p w:rsidR="00631558" w:rsidRPr="005E6DD3" w:rsidRDefault="00BE6654" w:rsidP="0063155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  <w:lang w:val="lv-LV"/>
        </w:rPr>
      </w:pPr>
      <w:r w:rsidRPr="005E6DD3">
        <w:rPr>
          <w:rFonts w:ascii="Times New Roman" w:hAnsi="Times New Roman" w:cs="Times New Roman"/>
          <w:sz w:val="20"/>
          <w:szCs w:val="20"/>
          <w:lang w:val="lv-LV"/>
        </w:rPr>
        <w:t>Tehniskā analīze</w:t>
      </w:r>
    </w:p>
    <w:p w:rsidR="00BE6654" w:rsidRPr="005E6DD3" w:rsidRDefault="00BE6654" w:rsidP="00BE6654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  <w:lang w:val="lv-LV"/>
        </w:rPr>
      </w:pPr>
      <w:r w:rsidRPr="005E6DD3">
        <w:rPr>
          <w:rFonts w:ascii="Times New Roman" w:hAnsi="Times New Roman" w:cs="Times New Roman"/>
          <w:sz w:val="20"/>
          <w:szCs w:val="20"/>
          <w:lang w:val="lv-LV"/>
        </w:rPr>
        <w:t>garantē, ka drīz cena kustīsies saskaņā ar attiecīgo paternu</w:t>
      </w:r>
    </w:p>
    <w:p w:rsidR="00BE6654" w:rsidRPr="005E6DD3" w:rsidRDefault="00BE6654" w:rsidP="00BE6654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color w:val="00B050"/>
          <w:sz w:val="20"/>
          <w:szCs w:val="20"/>
          <w:lang w:val="lv-LV"/>
        </w:rPr>
      </w:pPr>
      <w:r w:rsidRPr="005E6DD3">
        <w:rPr>
          <w:rFonts w:ascii="Times New Roman" w:hAnsi="Times New Roman" w:cs="Times New Roman"/>
          <w:b/>
          <w:color w:val="00B050"/>
          <w:sz w:val="20"/>
          <w:szCs w:val="20"/>
          <w:lang w:val="lv-LV"/>
        </w:rPr>
        <w:t>dod iespēju prognozēt potenciālu cenu kustību saskaņā ar attiecīgo paternu</w:t>
      </w:r>
    </w:p>
    <w:p w:rsidR="00BE6654" w:rsidRPr="005E6DD3" w:rsidRDefault="00BE6654" w:rsidP="00BE6654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  <w:lang w:val="lv-LV"/>
        </w:rPr>
      </w:pPr>
      <w:r w:rsidRPr="005E6DD3">
        <w:rPr>
          <w:rFonts w:ascii="Times New Roman" w:hAnsi="Times New Roman" w:cs="Times New Roman"/>
          <w:sz w:val="20"/>
          <w:szCs w:val="20"/>
          <w:lang w:val="lv-LV"/>
        </w:rPr>
        <w:t>parāda pieprasījuma un piedāvājuma sadalījumu tirgū</w:t>
      </w:r>
    </w:p>
    <w:p w:rsidR="00BE6654" w:rsidRPr="005E6DD3" w:rsidRDefault="008E4D86" w:rsidP="00BE6654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  <w:lang w:val="lv-LV"/>
        </w:rPr>
      </w:pPr>
      <w:r w:rsidRPr="005E6DD3">
        <w:rPr>
          <w:rFonts w:ascii="Times New Roman" w:hAnsi="Times New Roman" w:cs="Times New Roman"/>
          <w:sz w:val="20"/>
          <w:szCs w:val="20"/>
          <w:lang w:val="lv-LV"/>
        </w:rPr>
        <w:t>prognozē turpmākas cenu kustības balstoties uz finanšu ziņām</w:t>
      </w:r>
    </w:p>
    <w:p w:rsidR="00664658" w:rsidRDefault="005E6DD3" w:rsidP="005E6DD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>Saskaņā ar polaritātes izmaiņas principu:</w:t>
      </w:r>
    </w:p>
    <w:p w:rsidR="005E6DD3" w:rsidRPr="005E6DD3" w:rsidRDefault="005E6DD3" w:rsidP="005E6DD3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color w:val="00B050"/>
          <w:sz w:val="20"/>
          <w:szCs w:val="20"/>
          <w:lang w:val="lv-LV"/>
        </w:rPr>
      </w:pPr>
      <w:r w:rsidRPr="005E6DD3">
        <w:rPr>
          <w:rFonts w:ascii="Times New Roman" w:hAnsi="Times New Roman" w:cs="Times New Roman"/>
          <w:b/>
          <w:color w:val="00B050"/>
          <w:sz w:val="20"/>
          <w:szCs w:val="20"/>
          <w:lang w:val="lv-LV"/>
        </w:rPr>
        <w:t>pārieta pretestības līnija kļūst par atbalsta līniju</w:t>
      </w:r>
    </w:p>
    <w:p w:rsidR="005E6DD3" w:rsidRDefault="005E6DD3" w:rsidP="005E6DD3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>pārieta pretestības līnija nemaina savus statusu un paliek par pretestības līniju</w:t>
      </w:r>
    </w:p>
    <w:p w:rsidR="005E6DD3" w:rsidRDefault="005E6DD3" w:rsidP="005E6DD3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>augšupejošais trends maina savu virzienu</w:t>
      </w:r>
    </w:p>
    <w:p w:rsidR="005E6DD3" w:rsidRDefault="005E6DD3" w:rsidP="005E6DD3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lastRenderedPageBreak/>
        <w:t>horizontālās kustības gadījumā pretestības un atbalsta līnijas mainās vietām.</w:t>
      </w:r>
    </w:p>
    <w:p w:rsidR="005E6DD3" w:rsidRDefault="00D22EDC" w:rsidP="005E6DD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>Tehniskajā analīzē grafisks šablons “Galva un pleci” signalizē par to, ka</w:t>
      </w:r>
    </w:p>
    <w:p w:rsidR="00D22EDC" w:rsidRDefault="00D22EDC" w:rsidP="00D22EDC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>trends mainīs savu virzienu</w:t>
      </w:r>
    </w:p>
    <w:p w:rsidR="00D22EDC" w:rsidRDefault="00D22EDC" w:rsidP="00D22EDC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>trends turpinās savu kustību</w:t>
      </w:r>
    </w:p>
    <w:p w:rsidR="00D22EDC" w:rsidRPr="00D22EDC" w:rsidRDefault="00D22EDC" w:rsidP="00D22EDC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color w:val="00B050"/>
          <w:sz w:val="20"/>
          <w:szCs w:val="20"/>
          <w:lang w:val="lv-LV"/>
        </w:rPr>
      </w:pPr>
      <w:r w:rsidRPr="00D22EDC">
        <w:rPr>
          <w:rFonts w:ascii="Times New Roman" w:hAnsi="Times New Roman" w:cs="Times New Roman"/>
          <w:b/>
          <w:color w:val="00B050"/>
          <w:sz w:val="20"/>
          <w:szCs w:val="20"/>
          <w:lang w:val="lv-LV"/>
        </w:rPr>
        <w:t>pastāv noteikta varbūtība, ka trends mainīs savu virzienu</w:t>
      </w:r>
    </w:p>
    <w:p w:rsidR="00D22EDC" w:rsidRPr="005E6DD3" w:rsidRDefault="00D22EDC" w:rsidP="00D22EDC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>nekas netiek gaidīts</w:t>
      </w:r>
    </w:p>
    <w:p w:rsidR="00664658" w:rsidRDefault="00AF46A5" w:rsidP="00AF46A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>Ciklu/viļņu teorija attiecas uz</w:t>
      </w:r>
    </w:p>
    <w:p w:rsidR="00AF46A5" w:rsidRPr="00AF46A5" w:rsidRDefault="00AF46A5" w:rsidP="00AF46A5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color w:val="00B050"/>
          <w:sz w:val="20"/>
          <w:szCs w:val="20"/>
          <w:lang w:val="lv-LV"/>
        </w:rPr>
      </w:pPr>
      <w:r w:rsidRPr="00AF46A5">
        <w:rPr>
          <w:rFonts w:ascii="Times New Roman" w:hAnsi="Times New Roman" w:cs="Times New Roman"/>
          <w:b/>
          <w:color w:val="00B050"/>
          <w:sz w:val="20"/>
          <w:szCs w:val="20"/>
          <w:lang w:val="lv-LV"/>
        </w:rPr>
        <w:t>tehnisko analīzi</w:t>
      </w:r>
    </w:p>
    <w:p w:rsidR="00AF46A5" w:rsidRDefault="00AF46A5" w:rsidP="00AF46A5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>fundamentālo analīzi</w:t>
      </w:r>
    </w:p>
    <w:p w:rsidR="00AF46A5" w:rsidRDefault="00AF46A5" w:rsidP="00AF46A5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>klasisko analīzi</w:t>
      </w:r>
    </w:p>
    <w:p w:rsidR="00AF46A5" w:rsidRDefault="00AF46A5" w:rsidP="00AF46A5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>vienu no fizikas teorijām</w:t>
      </w:r>
    </w:p>
    <w:p w:rsidR="00AF46A5" w:rsidRDefault="00CC2E48" w:rsidP="00AF46A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>Tehniskās analīzes signāli kļūst stiprāki, ja</w:t>
      </w:r>
    </w:p>
    <w:p w:rsidR="00C13E55" w:rsidRPr="00C13E55" w:rsidRDefault="00C13E55" w:rsidP="00CC2E48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color w:val="00B050"/>
          <w:sz w:val="20"/>
          <w:szCs w:val="20"/>
          <w:lang w:val="lv-LV"/>
        </w:rPr>
      </w:pPr>
      <w:r w:rsidRPr="00C13E55">
        <w:rPr>
          <w:rFonts w:ascii="Times New Roman" w:hAnsi="Times New Roman" w:cs="Times New Roman"/>
          <w:b/>
          <w:color w:val="00B050"/>
          <w:sz w:val="20"/>
          <w:szCs w:val="20"/>
          <w:lang w:val="lv-LV"/>
        </w:rPr>
        <w:t>vairāku rīku signāli norāda uz attiecīgu scenāriju</w:t>
      </w:r>
    </w:p>
    <w:p w:rsidR="00CC2E48" w:rsidRDefault="00C13E55" w:rsidP="00CC2E48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>vairāku rīku signāli norāda uz pretrunīgu prognozi</w:t>
      </w:r>
    </w:p>
    <w:p w:rsidR="00C13E55" w:rsidRDefault="00577D43" w:rsidP="00CC2E48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>tiek izmantoti vairāki rīki</w:t>
      </w:r>
    </w:p>
    <w:p w:rsidR="00577D43" w:rsidRDefault="00577D43" w:rsidP="00CC2E48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>tiek izmantoti vienkāršāki rīki</w:t>
      </w:r>
    </w:p>
    <w:p w:rsidR="00577D43" w:rsidRDefault="00A2151A" w:rsidP="00577D4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 xml:space="preserve">Kas tas ir </w:t>
      </w:r>
      <w:r>
        <w:rPr>
          <w:noProof/>
          <w:lang w:val="en-GB" w:eastAsia="en-GB"/>
        </w:rPr>
        <w:drawing>
          <wp:inline distT="0" distB="0" distL="0" distR="0" wp14:anchorId="51EDAFFD" wp14:editId="4BE8E2AE">
            <wp:extent cx="200025" cy="4667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  <w:lang w:val="lv-LV"/>
        </w:rPr>
        <w:t>?</w:t>
      </w:r>
    </w:p>
    <w:p w:rsidR="00A2151A" w:rsidRPr="00A2151A" w:rsidRDefault="00A2151A" w:rsidP="00A2151A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b/>
          <w:color w:val="00B050"/>
          <w:sz w:val="20"/>
          <w:szCs w:val="20"/>
          <w:lang w:val="lv-LV"/>
        </w:rPr>
      </w:pPr>
      <w:r w:rsidRPr="00A2151A">
        <w:rPr>
          <w:rFonts w:ascii="Times New Roman" w:hAnsi="Times New Roman" w:cs="Times New Roman"/>
          <w:b/>
          <w:color w:val="00B050"/>
          <w:sz w:val="20"/>
          <w:szCs w:val="20"/>
          <w:lang w:val="lv-LV"/>
        </w:rPr>
        <w:t>Japāņu svece</w:t>
      </w:r>
    </w:p>
    <w:p w:rsidR="00A2151A" w:rsidRDefault="00A2151A" w:rsidP="00A2151A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>Bars</w:t>
      </w:r>
    </w:p>
    <w:p w:rsidR="00A2151A" w:rsidRDefault="00A2151A" w:rsidP="00A2151A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>Tiks</w:t>
      </w:r>
    </w:p>
    <w:p w:rsidR="00A2151A" w:rsidRPr="00AF46A5" w:rsidRDefault="00A2151A" w:rsidP="00A2151A">
      <w:pPr>
        <w:pStyle w:val="ListParagraph"/>
        <w:numPr>
          <w:ilvl w:val="1"/>
          <w:numId w:val="1"/>
        </w:numPr>
        <w:spacing w:after="0" w:line="360" w:lineRule="auto"/>
        <w:rPr>
          <w:rFonts w:ascii="Times New Roman" w:hAnsi="Times New Roman" w:cs="Times New Roman"/>
          <w:sz w:val="20"/>
          <w:szCs w:val="20"/>
          <w:lang w:val="lv-LV"/>
        </w:rPr>
      </w:pPr>
      <w:r>
        <w:rPr>
          <w:rFonts w:ascii="Times New Roman" w:hAnsi="Times New Roman" w:cs="Times New Roman"/>
          <w:sz w:val="20"/>
          <w:szCs w:val="20"/>
          <w:lang w:val="lv-LV"/>
        </w:rPr>
        <w:t>Volatilitātes simbols</w:t>
      </w:r>
    </w:p>
    <w:sectPr w:rsidR="00A2151A" w:rsidRPr="00AF46A5" w:rsidSect="0042099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B4B6C"/>
    <w:multiLevelType w:val="hybridMultilevel"/>
    <w:tmpl w:val="A7667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A5A"/>
    <w:rsid w:val="000A4D7D"/>
    <w:rsid w:val="00420990"/>
    <w:rsid w:val="00577D43"/>
    <w:rsid w:val="005E6DD3"/>
    <w:rsid w:val="005F0946"/>
    <w:rsid w:val="0061057F"/>
    <w:rsid w:val="00631558"/>
    <w:rsid w:val="00664658"/>
    <w:rsid w:val="006F5578"/>
    <w:rsid w:val="008E4D86"/>
    <w:rsid w:val="00981ADA"/>
    <w:rsid w:val="00A16514"/>
    <w:rsid w:val="00A2151A"/>
    <w:rsid w:val="00AF46A5"/>
    <w:rsid w:val="00BE6654"/>
    <w:rsid w:val="00C13E55"/>
    <w:rsid w:val="00C16FAD"/>
    <w:rsid w:val="00C63A5A"/>
    <w:rsid w:val="00C73302"/>
    <w:rsid w:val="00CC2E48"/>
    <w:rsid w:val="00D166CB"/>
    <w:rsid w:val="00D22EDC"/>
    <w:rsid w:val="00DD6B1A"/>
    <w:rsid w:val="00DF62CD"/>
    <w:rsid w:val="00FC70E1"/>
    <w:rsid w:val="00FD61E2"/>
    <w:rsid w:val="00FF6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D9C64-771A-4E48-BE23-00DAB204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5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6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B1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D6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2</cp:revision>
  <dcterms:created xsi:type="dcterms:W3CDTF">2019-02-18T10:34:00Z</dcterms:created>
  <dcterms:modified xsi:type="dcterms:W3CDTF">2019-02-18T10:34:00Z</dcterms:modified>
</cp:coreProperties>
</file>